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spacing w:line="360" w:lineRule="auto"/>
        <w:jc w:val="center"/>
        <w:rPr>
          <w:rFonts w:ascii="宋体" w:hAnsi="宋体"/>
          <w:b/>
          <w:sz w:val="32"/>
          <w:szCs w:val="32"/>
        </w:rPr>
      </w:pPr>
      <w:r>
        <w:rPr>
          <w:rFonts w:hint="eastAsia" w:ascii="宋体" w:hAnsi="宋体"/>
          <w:b/>
          <w:sz w:val="32"/>
          <w:szCs w:val="32"/>
        </w:rPr>
        <w:t>云南省精神病医院</w:t>
      </w:r>
      <w:r>
        <w:rPr>
          <w:rFonts w:hint="eastAsia" w:ascii="宋体" w:hAnsi="宋体"/>
          <w:b/>
          <w:sz w:val="32"/>
          <w:szCs w:val="32"/>
          <w:u w:val="single"/>
        </w:rPr>
        <w:t>十百千工程科研项目</w:t>
      </w:r>
      <w:r>
        <w:rPr>
          <w:rFonts w:hint="eastAsia" w:ascii="宋体" w:hAnsi="宋体"/>
          <w:b/>
          <w:sz w:val="32"/>
          <w:szCs w:val="32"/>
        </w:rPr>
        <w:t>物资采购</w:t>
      </w:r>
    </w:p>
    <w:p>
      <w:pPr>
        <w:spacing w:line="360" w:lineRule="auto"/>
        <w:jc w:val="center"/>
        <w:rPr>
          <w:rFonts w:ascii="宋体" w:hAnsi="宋体"/>
          <w:sz w:val="24"/>
          <w:szCs w:val="24"/>
        </w:rPr>
      </w:pPr>
      <w:r>
        <w:rPr>
          <w:rFonts w:hint="eastAsia" w:ascii="宋体" w:hAnsi="宋体"/>
          <w:b/>
          <w:sz w:val="32"/>
          <w:szCs w:val="32"/>
        </w:rPr>
        <w:t>竞争性谈判公告</w:t>
      </w:r>
    </w:p>
    <w:p>
      <w:pPr>
        <w:spacing w:line="360" w:lineRule="auto"/>
        <w:jc w:val="center"/>
        <w:rPr>
          <w:rFonts w:ascii="宋体" w:hAnsi="宋体"/>
          <w:sz w:val="24"/>
          <w:szCs w:val="24"/>
        </w:rPr>
      </w:pPr>
      <w:r>
        <w:rPr>
          <w:rFonts w:hint="eastAsia" w:ascii="宋体" w:hAnsi="宋体"/>
          <w:b/>
          <w:sz w:val="32"/>
          <w:szCs w:val="32"/>
        </w:rPr>
        <w:t>(项目编号：YNSJ20201104)</w:t>
      </w:r>
    </w:p>
    <w:p>
      <w:pPr>
        <w:pStyle w:val="4"/>
        <w:spacing w:before="0" w:after="0" w:line="360" w:lineRule="auto"/>
        <w:rPr>
          <w:rFonts w:ascii="宋体" w:hAnsi="宋体" w:eastAsia="宋体"/>
          <w:sz w:val="28"/>
          <w:szCs w:val="28"/>
        </w:rPr>
      </w:pPr>
      <w:bookmarkStart w:id="0" w:name="_Toc32031"/>
      <w:bookmarkEnd w:id="0"/>
      <w:bookmarkStart w:id="1" w:name="_Toc29108"/>
      <w:bookmarkEnd w:id="1"/>
      <w:bookmarkStart w:id="2" w:name="_Toc35551587"/>
      <w:bookmarkStart w:id="3" w:name="_Toc12997"/>
      <w:r>
        <w:rPr>
          <w:rFonts w:hint="eastAsia" w:ascii="宋体" w:hAnsi="宋体" w:eastAsia="宋体"/>
          <w:sz w:val="28"/>
          <w:szCs w:val="28"/>
        </w:rPr>
        <w:t>1.采购条件</w:t>
      </w:r>
      <w:bookmarkEnd w:id="2"/>
      <w:bookmarkEnd w:id="3"/>
    </w:p>
    <w:p>
      <w:pPr>
        <w:spacing w:line="360" w:lineRule="auto"/>
        <w:ind w:firstLine="480" w:firstLineChars="200"/>
        <w:rPr>
          <w:rFonts w:ascii="宋体" w:hAnsi="宋体"/>
          <w:sz w:val="24"/>
          <w:szCs w:val="24"/>
        </w:rPr>
      </w:pPr>
      <w:r>
        <w:rPr>
          <w:rFonts w:hint="eastAsia" w:ascii="宋体" w:hAnsi="宋体"/>
          <w:sz w:val="24"/>
          <w:szCs w:val="24"/>
        </w:rPr>
        <w:t>参照有关法律法规的规定，云南省精神病医院十百千工程项目使用试剂材料等物资采购已经获得医院院长办公会会议的批准，对该项目进行谈判，竭诚欢迎具有完成该项目能力的潜在供应商参加谈判。</w:t>
      </w:r>
    </w:p>
    <w:p>
      <w:pPr>
        <w:pStyle w:val="4"/>
        <w:spacing w:before="0" w:after="0" w:line="360" w:lineRule="auto"/>
        <w:rPr>
          <w:rFonts w:ascii="宋体" w:hAnsi="宋体" w:eastAsia="宋体"/>
          <w:sz w:val="28"/>
          <w:szCs w:val="28"/>
        </w:rPr>
      </w:pPr>
      <w:bookmarkStart w:id="4" w:name="_Toc35551588"/>
      <w:r>
        <w:rPr>
          <w:rFonts w:hint="eastAsia" w:ascii="宋体" w:hAnsi="宋体" w:eastAsia="宋体"/>
          <w:sz w:val="28"/>
          <w:szCs w:val="28"/>
        </w:rPr>
        <w:t>2.</w:t>
      </w:r>
      <w:bookmarkStart w:id="5" w:name="_Toc16942"/>
      <w:bookmarkEnd w:id="5"/>
      <w:bookmarkStart w:id="6" w:name="_Toc14391"/>
      <w:bookmarkEnd w:id="6"/>
      <w:bookmarkStart w:id="7" w:name="_Toc17585"/>
      <w:r>
        <w:rPr>
          <w:rFonts w:hint="eastAsia" w:ascii="宋体" w:hAnsi="宋体" w:eastAsia="宋体"/>
          <w:sz w:val="28"/>
          <w:szCs w:val="28"/>
        </w:rPr>
        <w:t>项目概况</w:t>
      </w:r>
      <w:bookmarkEnd w:id="4"/>
    </w:p>
    <w:p>
      <w:pPr>
        <w:spacing w:line="360" w:lineRule="auto"/>
        <w:ind w:firstLine="480" w:firstLineChars="200"/>
        <w:rPr>
          <w:rFonts w:ascii="宋体" w:hAnsi="宋体"/>
          <w:color w:val="FF0000"/>
          <w:sz w:val="24"/>
          <w:szCs w:val="24"/>
        </w:rPr>
      </w:pPr>
      <w:r>
        <w:rPr>
          <w:rFonts w:hint="eastAsia" w:ascii="宋体" w:hAnsi="宋体"/>
          <w:sz w:val="24"/>
          <w:szCs w:val="24"/>
        </w:rPr>
        <w:t>2.1</w:t>
      </w:r>
      <w:r>
        <w:rPr>
          <w:rFonts w:hint="eastAsia" w:ascii="宋体" w:hAnsi="宋体" w:cs="宋体"/>
          <w:b/>
          <w:bCs/>
          <w:sz w:val="24"/>
          <w:szCs w:val="24"/>
        </w:rPr>
        <w:t>项目名称</w:t>
      </w:r>
      <w:r>
        <w:rPr>
          <w:rFonts w:hint="eastAsia" w:ascii="宋体" w:hAnsi="宋体"/>
          <w:b/>
          <w:bCs/>
          <w:sz w:val="24"/>
          <w:szCs w:val="24"/>
        </w:rPr>
        <w:t>：</w:t>
      </w:r>
      <w:r>
        <w:rPr>
          <w:rFonts w:hint="eastAsia" w:ascii="宋体" w:hAnsi="宋体"/>
          <w:sz w:val="24"/>
          <w:szCs w:val="24"/>
          <w:u w:val="single"/>
        </w:rPr>
        <w:t>云南省精神病医院十百千工程科研项目物资采购</w:t>
      </w:r>
      <w:r>
        <w:rPr>
          <w:rFonts w:hint="eastAsia" w:ascii="宋体" w:hAnsi="宋体"/>
          <w:sz w:val="24"/>
          <w:szCs w:val="24"/>
        </w:rPr>
        <w:t>。</w:t>
      </w:r>
    </w:p>
    <w:p>
      <w:pPr>
        <w:spacing w:line="360" w:lineRule="auto"/>
        <w:ind w:firstLine="480" w:firstLineChars="200"/>
        <w:rPr>
          <w:rFonts w:ascii="宋体" w:hAnsi="宋体"/>
          <w:b/>
          <w:bCs/>
          <w:sz w:val="24"/>
          <w:szCs w:val="24"/>
        </w:rPr>
      </w:pPr>
      <w:r>
        <w:rPr>
          <w:rFonts w:hint="eastAsia" w:ascii="宋体" w:hAnsi="宋体"/>
          <w:sz w:val="24"/>
          <w:szCs w:val="24"/>
        </w:rPr>
        <w:t>2.2</w:t>
      </w:r>
      <w:r>
        <w:rPr>
          <w:rFonts w:hint="eastAsia" w:ascii="宋体" w:hAnsi="宋体"/>
          <w:b/>
          <w:bCs/>
          <w:sz w:val="24"/>
          <w:szCs w:val="24"/>
        </w:rPr>
        <w:t>采购需求：</w:t>
      </w:r>
    </w:p>
    <w:p>
      <w:pPr>
        <w:pStyle w:val="3"/>
        <w:jc w:val="center"/>
        <w:rPr>
          <w:rFonts w:ascii="宋体" w:hAnsi="宋体" w:cs="宋体"/>
          <w:sz w:val="28"/>
          <w:szCs w:val="28"/>
        </w:rPr>
      </w:pPr>
      <w:bookmarkStart w:id="8" w:name="_Toc16138"/>
      <w:r>
        <w:rPr>
          <w:rFonts w:hint="eastAsia" w:ascii="宋体" w:hAnsi="宋体" w:cs="宋体"/>
          <w:sz w:val="28"/>
          <w:szCs w:val="28"/>
        </w:rPr>
        <w:t>（1）货物需求一览表及技术规格</w:t>
      </w:r>
      <w:bookmarkEnd w:id="8"/>
    </w:p>
    <w:tbl>
      <w:tblPr>
        <w:tblStyle w:val="9"/>
        <w:tblW w:w="4998" w:type="pct"/>
        <w:tblInd w:w="0" w:type="dxa"/>
        <w:tblLayout w:type="fixed"/>
        <w:tblCellMar>
          <w:top w:w="0" w:type="dxa"/>
          <w:left w:w="0" w:type="dxa"/>
          <w:bottom w:w="0" w:type="dxa"/>
          <w:right w:w="0" w:type="dxa"/>
        </w:tblCellMar>
      </w:tblPr>
      <w:tblGrid>
        <w:gridCol w:w="916"/>
        <w:gridCol w:w="4064"/>
        <w:gridCol w:w="1168"/>
        <w:gridCol w:w="839"/>
        <w:gridCol w:w="648"/>
        <w:gridCol w:w="1230"/>
        <w:gridCol w:w="1234"/>
      </w:tblGrid>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序号</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名称</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规格</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单位</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数量</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单价（元）</w:t>
            </w: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合价</w:t>
            </w:r>
          </w:p>
          <w:p>
            <w:pPr>
              <w:jc w:val="center"/>
              <w:textAlignment w:val="center"/>
              <w:rPr>
                <w:color w:val="000000"/>
                <w:sz w:val="24"/>
                <w:szCs w:val="24"/>
              </w:rPr>
            </w:pPr>
            <w:r>
              <w:rPr>
                <w:rFonts w:hint="eastAsia"/>
                <w:color w:val="000000"/>
                <w:sz w:val="24"/>
                <w:szCs w:val="24"/>
              </w:rPr>
              <w:t>（元）</w:t>
            </w: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KAPA SYBR FAST Universal qPCR Kit</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4</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PI3 Kinase p110α</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100ul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蛋白酶抑制剂混合物</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4</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4</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PhosSTOP™</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4</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胰酶</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8</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6</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粘附载玻片</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40盒/箱</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7</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澳洲胎牛血清</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500ml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瓶</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7</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8</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jc w:val="both"/>
              <w:textAlignment w:val="bottom"/>
              <w:rPr>
                <w:color w:val="000000"/>
                <w:sz w:val="24"/>
                <w:szCs w:val="24"/>
              </w:rPr>
            </w:pPr>
            <w:r>
              <w:rPr>
                <w:rFonts w:hint="eastAsia"/>
                <w:color w:val="000000"/>
                <w:sz w:val="24"/>
                <w:szCs w:val="24"/>
              </w:rPr>
              <w:t>底物显色试剂</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500ml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盒</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4</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9</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尿AD7C-NTP试剂盒</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1盒</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盒</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血清TRPC6试剂盒</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1盒</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盒</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11</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一次性使用真空采血管(9ml)</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9ml肝素</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支</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12</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一次性使用尿液收集器(15ml)</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15ml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支</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13</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10ml离心管</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支</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14</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1.5ml离心管</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1.5ml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支</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15</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2ml冻存管</w:t>
            </w:r>
            <w:bookmarkStart w:id="29" w:name="_GoBack"/>
            <w:bookmarkEnd w:id="29"/>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支</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16</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EP管</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支</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200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17</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酶标板条</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8孔条</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条</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18</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移液器可替换吸头</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5-50ul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包</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19</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一次性棉签</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50支/包</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包</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20</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human total TrkB ELISA(DYC397-2)</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1kit</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21</w:t>
            </w:r>
          </w:p>
        </w:tc>
        <w:tc>
          <w:tcPr>
            <w:tcW w:w="4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human total BDNF ELISA(DY248)</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1kit</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shd w:val="clear" w:color="auto" w:fill="FFFF00"/>
            <w:noWrap/>
            <w:tcMar>
              <w:top w:w="15" w:type="dxa"/>
              <w:left w:w="15" w:type="dxa"/>
              <w:right w:w="15" w:type="dxa"/>
            </w:tcMar>
            <w:vAlign w:val="center"/>
          </w:tcPr>
          <w:p>
            <w:pPr>
              <w:jc w:val="center"/>
              <w:rPr>
                <w:color w:val="FFFFFF" w:themeColor="background1"/>
                <w:sz w:val="24"/>
                <w:szCs w:val="24"/>
              </w:rPr>
            </w:pPr>
            <w:r>
              <w:rPr>
                <w:rFonts w:hint="eastAsia"/>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sz w:val="24"/>
                <w:szCs w:val="24"/>
              </w:rPr>
              <w:t>22</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rPr>
            </w:pPr>
            <w:r>
              <w:rPr>
                <w:rFonts w:hint="eastAsia"/>
                <w:color w:val="000000"/>
              </w:rPr>
              <w:t xml:space="preserve">hrp -streptavidin </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1只</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3</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23</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10ml离心管</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包</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24</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1.5ml离心管</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1.5ml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r>
              <w:rPr>
                <w:rFonts w:hint="eastAsia"/>
                <w:color w:val="000000"/>
                <w:sz w:val="24"/>
                <w:szCs w:val="24"/>
              </w:rPr>
              <w:t>包</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sz w:val="24"/>
                <w:szCs w:val="24"/>
              </w:rPr>
              <w:t>25</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rPr>
            </w:pPr>
            <w:r>
              <w:rPr>
                <w:rFonts w:hint="eastAsia"/>
                <w:color w:val="000000"/>
              </w:rPr>
              <w:t>Nunc MaxiSorp™ flat-bottom酶标板</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个</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20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26</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蛋白酶抑制剂混合物</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27</w:t>
            </w:r>
          </w:p>
        </w:tc>
        <w:tc>
          <w:tcPr>
            <w:tcW w:w="40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 xml:space="preserve">PrimeScript™ RT reagent Kit with gDNA Eraser </w:t>
            </w:r>
            <w:r>
              <w:rPr>
                <w:rFonts w:hint="eastAsia"/>
                <w:color w:val="000000"/>
                <w:sz w:val="24"/>
                <w:szCs w:val="24"/>
              </w:rPr>
              <w:br w:type="textWrapping"/>
            </w:r>
            <w:r>
              <w:rPr>
                <w:rFonts w:hint="eastAsia"/>
                <w:color w:val="000000"/>
                <w:sz w:val="24"/>
                <w:szCs w:val="24"/>
              </w:rPr>
              <w:t>(Perfect Real Time)</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100 Rxns</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28</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TB Green® Premix Ex Taq™ II (Tli RNaseH Plus)</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400 Rxns</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sz w:val="24"/>
                <w:szCs w:val="24"/>
              </w:rPr>
              <w:t>29</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rPr>
            </w:pPr>
            <w:r>
              <w:rPr>
                <w:rFonts w:hint="eastAsia"/>
                <w:color w:val="000000"/>
              </w:rPr>
              <w:t>TMB ELISA底物(Highest Sensitivity)</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瓶</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rPr>
            </w:pPr>
            <w:r>
              <w:rPr>
                <w:rFonts w:hint="eastAsia"/>
                <w:color w:val="000000"/>
                <w:sz w:val="24"/>
                <w:szCs w:val="24"/>
              </w:rPr>
              <w:t>瓶</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30</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human total TrkB ELISA(DYC397-2)</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1kit</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31</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甲醇</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500ml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10</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32</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sz w:val="24"/>
                <w:szCs w:val="24"/>
              </w:rPr>
            </w:pPr>
            <w:r>
              <w:rPr>
                <w:rFonts w:hint="eastAsia"/>
                <w:color w:val="000000"/>
                <w:sz w:val="24"/>
                <w:szCs w:val="24"/>
              </w:rPr>
              <w:t>TRIzol™ Reagent</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200ml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color w:val="000000"/>
                <w:sz w:val="24"/>
                <w:szCs w:val="24"/>
              </w:rPr>
            </w:pP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sz w:val="24"/>
                <w:szCs w:val="24"/>
              </w:rPr>
            </w:pPr>
            <w:r>
              <w:rPr>
                <w:rFonts w:hint="eastAsia"/>
                <w:color w:val="000000"/>
                <w:sz w:val="24"/>
                <w:szCs w:val="24"/>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sz w:val="24"/>
                <w:szCs w:val="24"/>
              </w:rPr>
              <w:t>33</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rPr>
            </w:pPr>
            <w:r>
              <w:rPr>
                <w:rFonts w:hint="eastAsia"/>
                <w:color w:val="000000"/>
              </w:rPr>
              <w:t>胎牛血清（澳洲）</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500ml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瓶</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5</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sz w:val="24"/>
                <w:szCs w:val="24"/>
              </w:rPr>
              <w:t>34</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rPr>
            </w:pPr>
            <w:r>
              <w:rPr>
                <w:rFonts w:hint="eastAsia"/>
                <w:color w:val="000000"/>
              </w:rPr>
              <w:t>Penicillin-Streptomycin, Liquid（1%青链霉素双抗）</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100ml</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瓶</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4</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r>
        <w:tblPrEx>
          <w:tblCellMar>
            <w:top w:w="0" w:type="dxa"/>
            <w:left w:w="0" w:type="dxa"/>
            <w:bottom w:w="0" w:type="dxa"/>
            <w:right w:w="0" w:type="dxa"/>
          </w:tblCellMar>
        </w:tblPrEx>
        <w:trPr>
          <w:trHeight w:val="567" w:hRule="atLeast"/>
        </w:trPr>
        <w:tc>
          <w:tcPr>
            <w:tcW w:w="9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sz w:val="24"/>
                <w:szCs w:val="24"/>
              </w:rPr>
              <w:t>35</w:t>
            </w:r>
          </w:p>
        </w:tc>
        <w:tc>
          <w:tcPr>
            <w:tcW w:w="40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both"/>
              <w:textAlignment w:val="center"/>
              <w:rPr>
                <w:color w:val="000000"/>
              </w:rPr>
            </w:pPr>
            <w:r>
              <w:rPr>
                <w:rFonts w:hint="eastAsia"/>
                <w:color w:val="000000"/>
              </w:rPr>
              <w:t>Collagenase, Type II, powder</w:t>
            </w:r>
          </w:p>
        </w:tc>
        <w:tc>
          <w:tcPr>
            <w:tcW w:w="11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1g</w:t>
            </w:r>
          </w:p>
        </w:tc>
        <w:tc>
          <w:tcPr>
            <w:tcW w:w="8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支</w:t>
            </w:r>
          </w:p>
        </w:tc>
        <w:tc>
          <w:tcPr>
            <w:tcW w:w="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textAlignment w:val="center"/>
              <w:rPr>
                <w:color w:val="000000"/>
              </w:rPr>
            </w:pPr>
            <w:r>
              <w:rPr>
                <w:rFonts w:hint="eastAsia"/>
                <w:color w:val="000000"/>
              </w:rPr>
              <w:t>1</w:t>
            </w:r>
          </w:p>
        </w:tc>
        <w:tc>
          <w:tcPr>
            <w:tcW w:w="12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rPr>
            </w:pPr>
          </w:p>
        </w:tc>
        <w:tc>
          <w:tcPr>
            <w:tcW w:w="12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color w:val="000000"/>
                <w:sz w:val="24"/>
                <w:szCs w:val="24"/>
              </w:rPr>
            </w:pPr>
          </w:p>
        </w:tc>
      </w:tr>
    </w:tbl>
    <w:p>
      <w:pPr>
        <w:spacing w:before="141" w:line="480" w:lineRule="atLeast"/>
        <w:ind w:left="100" w:right="102"/>
        <w:rPr>
          <w:sz w:val="28"/>
          <w:szCs w:val="28"/>
        </w:rPr>
      </w:pPr>
      <w:r>
        <w:rPr>
          <w:rFonts w:hint="eastAsia"/>
          <w:sz w:val="28"/>
          <w:szCs w:val="28"/>
        </w:rPr>
        <w:t>预算经费：</w:t>
      </w:r>
      <w:bookmarkStart w:id="9" w:name="_Toc29539"/>
      <w:r>
        <w:rPr>
          <w:rFonts w:hint="eastAsia"/>
          <w:sz w:val="28"/>
          <w:szCs w:val="28"/>
        </w:rPr>
        <w:t>164515.00元</w:t>
      </w:r>
    </w:p>
    <w:p>
      <w:pPr>
        <w:spacing w:before="141" w:line="480" w:lineRule="atLeast"/>
        <w:ind w:left="100" w:right="102" w:firstLine="1120" w:firstLineChars="400"/>
        <w:rPr>
          <w:sz w:val="20"/>
        </w:rPr>
      </w:pPr>
      <w:r>
        <w:rPr>
          <w:rFonts w:hint="eastAsia" w:ascii="宋体" w:hAnsi="宋体" w:cs="宋体"/>
          <w:sz w:val="28"/>
          <w:szCs w:val="28"/>
        </w:rPr>
        <w:t>（2）货物需求一览表及技术规格</w:t>
      </w:r>
      <w:bookmarkEnd w:id="9"/>
    </w:p>
    <w:p>
      <w:pPr>
        <w:pStyle w:val="18"/>
        <w:numPr>
          <w:ilvl w:val="0"/>
          <w:numId w:val="1"/>
        </w:numPr>
        <w:spacing w:line="360" w:lineRule="auto"/>
        <w:ind w:left="0" w:firstLine="562" w:firstLineChars="200"/>
        <w:rPr>
          <w:b/>
          <w:bCs/>
          <w:sz w:val="28"/>
          <w:szCs w:val="28"/>
        </w:rPr>
      </w:pPr>
      <w:r>
        <w:rPr>
          <w:rFonts w:hint="eastAsia"/>
          <w:b/>
          <w:bCs/>
          <w:sz w:val="28"/>
          <w:szCs w:val="28"/>
        </w:rPr>
        <w:t>旷场视频分析系统</w:t>
      </w:r>
    </w:p>
    <w:p>
      <w:pPr>
        <w:spacing w:line="360" w:lineRule="auto"/>
        <w:ind w:firstLine="560" w:firstLineChars="200"/>
        <w:rPr>
          <w:sz w:val="28"/>
          <w:szCs w:val="28"/>
        </w:rPr>
      </w:pPr>
      <w:r>
        <w:rPr>
          <w:rFonts w:hint="eastAsia"/>
          <w:sz w:val="28"/>
          <w:szCs w:val="28"/>
        </w:rPr>
        <w:t>目的：旷场实验可以同时观测老鼠的站立、自主活动性、探洞行为等多种行为。</w:t>
      </w:r>
    </w:p>
    <w:p>
      <w:pPr>
        <w:spacing w:line="360" w:lineRule="auto"/>
        <w:ind w:firstLine="560" w:firstLineChars="200"/>
        <w:rPr>
          <w:sz w:val="28"/>
          <w:szCs w:val="28"/>
        </w:rPr>
      </w:pPr>
      <w:r>
        <w:rPr>
          <w:rFonts w:hint="eastAsia"/>
          <w:sz w:val="28"/>
          <w:szCs w:val="28"/>
        </w:rPr>
        <w:t>1、硬件：大鼠活动区域80cm×80cm</w:t>
      </w:r>
    </w:p>
    <w:p>
      <w:pPr>
        <w:spacing w:line="360" w:lineRule="auto"/>
        <w:ind w:firstLine="560" w:firstLineChars="200"/>
        <w:rPr>
          <w:sz w:val="28"/>
          <w:szCs w:val="28"/>
        </w:rPr>
      </w:pPr>
      <w:r>
        <w:rPr>
          <w:rFonts w:hint="eastAsia"/>
          <w:sz w:val="28"/>
          <w:szCs w:val="28"/>
        </w:rPr>
        <w:t xml:space="preserve">       </w:t>
      </w:r>
      <w:r>
        <w:rPr>
          <w:sz w:val="28"/>
          <w:szCs w:val="28"/>
        </w:rPr>
        <w:t xml:space="preserve"> </w:t>
      </w:r>
      <w:r>
        <w:rPr>
          <w:rFonts w:hint="eastAsia"/>
          <w:sz w:val="28"/>
          <w:szCs w:val="28"/>
        </w:rPr>
        <w:t xml:space="preserve"> 小鼠活动区域40cm×40cm</w:t>
      </w:r>
    </w:p>
    <w:p>
      <w:pPr>
        <w:spacing w:line="360" w:lineRule="auto"/>
        <w:ind w:firstLine="560" w:firstLineChars="200"/>
        <w:rPr>
          <w:sz w:val="28"/>
          <w:szCs w:val="28"/>
        </w:rPr>
      </w:pPr>
      <w:r>
        <w:rPr>
          <w:rFonts w:hint="eastAsia"/>
          <w:sz w:val="28"/>
          <w:szCs w:val="28"/>
        </w:rPr>
        <w:t>2、▲软件：○观察时间  ○总路程（总活动度）  ○平均速度  ○休息时间  ○活动时间  ○活动次数  ○线性度  ○区域分布指标（四边、四角、四周、中央的活动情况） ○站立次数（爬壁） ○站立时间（爬壁） ○站立次数（直立） ○站立时间（直立） ○支持固定时段和任意时段两种分析方法；</w:t>
      </w:r>
    </w:p>
    <w:p>
      <w:pPr>
        <w:spacing w:line="360" w:lineRule="auto"/>
        <w:ind w:firstLine="560" w:firstLineChars="200"/>
        <w:rPr>
          <w:sz w:val="28"/>
          <w:szCs w:val="28"/>
        </w:rPr>
      </w:pPr>
      <w:r>
        <w:rPr>
          <w:sz w:val="28"/>
          <w:szCs w:val="28"/>
        </w:rPr>
        <w:t>3</w:t>
      </w:r>
      <w:r>
        <w:rPr>
          <w:rFonts w:hint="eastAsia"/>
          <w:sz w:val="28"/>
          <w:szCs w:val="28"/>
        </w:rPr>
        <w:t>、实验过程自动化，避免了人工观察、计数引入的主观误差和对实验动物的干扰</w:t>
      </w:r>
    </w:p>
    <w:p>
      <w:pPr>
        <w:spacing w:line="360" w:lineRule="auto"/>
        <w:ind w:firstLine="560" w:firstLineChars="200"/>
        <w:rPr>
          <w:sz w:val="28"/>
          <w:szCs w:val="28"/>
        </w:rPr>
      </w:pPr>
      <w:r>
        <w:rPr>
          <w:sz w:val="28"/>
          <w:szCs w:val="28"/>
        </w:rPr>
        <w:t>4</w:t>
      </w:r>
      <w:r>
        <w:rPr>
          <w:rFonts w:hint="eastAsia"/>
          <w:sz w:val="28"/>
          <w:szCs w:val="28"/>
        </w:rPr>
        <w:t>、加入动物面壁站立的相关指标</w:t>
      </w:r>
    </w:p>
    <w:p>
      <w:pPr>
        <w:spacing w:line="360" w:lineRule="auto"/>
        <w:ind w:firstLine="560" w:firstLineChars="200"/>
        <w:rPr>
          <w:sz w:val="28"/>
          <w:szCs w:val="28"/>
        </w:rPr>
      </w:pPr>
      <w:r>
        <w:rPr>
          <w:sz w:val="28"/>
          <w:szCs w:val="28"/>
        </w:rPr>
        <w:t>5</w:t>
      </w:r>
      <w:r>
        <w:rPr>
          <w:rFonts w:hint="eastAsia"/>
          <w:sz w:val="28"/>
          <w:szCs w:val="28"/>
        </w:rPr>
        <w:t>、视频采集有原始录像，保证试验可查性</w:t>
      </w:r>
    </w:p>
    <w:p>
      <w:pPr>
        <w:spacing w:line="360" w:lineRule="auto"/>
        <w:ind w:firstLine="560" w:firstLineChars="200"/>
        <w:rPr>
          <w:sz w:val="28"/>
          <w:szCs w:val="28"/>
        </w:rPr>
      </w:pPr>
      <w:r>
        <w:rPr>
          <w:sz w:val="28"/>
          <w:szCs w:val="28"/>
        </w:rPr>
        <w:t>6</w:t>
      </w:r>
      <w:r>
        <w:rPr>
          <w:rFonts w:hint="eastAsia"/>
          <w:sz w:val="28"/>
          <w:szCs w:val="28"/>
        </w:rPr>
        <w:t>、软件自动跟踪分析，生成EXCEL文件，可在SPSS等统计分析软件直接分析</w:t>
      </w:r>
    </w:p>
    <w:p>
      <w:pPr>
        <w:pStyle w:val="18"/>
        <w:numPr>
          <w:ilvl w:val="0"/>
          <w:numId w:val="1"/>
        </w:numPr>
        <w:autoSpaceDE w:val="0"/>
        <w:autoSpaceDN w:val="0"/>
        <w:adjustRightInd w:val="0"/>
        <w:spacing w:line="360" w:lineRule="auto"/>
        <w:ind w:left="0" w:firstLine="562" w:firstLineChars="200"/>
        <w:rPr>
          <w:b/>
          <w:bCs/>
          <w:sz w:val="28"/>
          <w:szCs w:val="28"/>
          <w:lang w:eastAsia="zh-CN"/>
        </w:rPr>
      </w:pPr>
      <w:r>
        <w:rPr>
          <w:b/>
          <w:bCs/>
          <w:sz w:val="28"/>
          <w:szCs w:val="28"/>
          <w:lang w:eastAsia="zh-CN"/>
        </w:rPr>
        <w:t xml:space="preserve">MORRIS </w:t>
      </w:r>
      <w:r>
        <w:rPr>
          <w:rFonts w:hint="eastAsia"/>
          <w:b/>
          <w:bCs/>
          <w:sz w:val="28"/>
          <w:szCs w:val="28"/>
          <w:lang w:eastAsia="zh-CN"/>
        </w:rPr>
        <w:t>水迷宫视频分析系统（</w:t>
      </w:r>
      <w:r>
        <w:rPr>
          <w:rFonts w:hint="eastAsia" w:hAnsi="Calibri"/>
          <w:sz w:val="24"/>
          <w:lang w:eastAsia="zh-CN"/>
        </w:rPr>
        <w:t>通用</w:t>
      </w:r>
      <w:r>
        <w:rPr>
          <w:rFonts w:hAnsi="Calibri"/>
          <w:sz w:val="24"/>
          <w:lang w:eastAsia="zh-CN"/>
        </w:rPr>
        <w:t xml:space="preserve">MORRIS </w:t>
      </w:r>
      <w:r>
        <w:rPr>
          <w:rFonts w:hint="eastAsia" w:hAnsi="Calibri"/>
          <w:sz w:val="24"/>
          <w:lang w:eastAsia="zh-CN"/>
        </w:rPr>
        <w:t>水迷宫视频分析系统</w:t>
      </w:r>
      <w:r>
        <w:rPr>
          <w:rFonts w:hint="eastAsia"/>
          <w:b/>
          <w:bCs/>
          <w:sz w:val="28"/>
          <w:szCs w:val="28"/>
          <w:lang w:eastAsia="zh-CN"/>
        </w:rPr>
        <w:t>）</w:t>
      </w:r>
    </w:p>
    <w:p>
      <w:pPr>
        <w:autoSpaceDE w:val="0"/>
        <w:autoSpaceDN w:val="0"/>
        <w:adjustRightInd w:val="0"/>
        <w:spacing w:line="360" w:lineRule="auto"/>
        <w:ind w:firstLine="560" w:firstLineChars="200"/>
        <w:rPr>
          <w:sz w:val="28"/>
          <w:szCs w:val="28"/>
        </w:rPr>
      </w:pPr>
      <w:r>
        <w:rPr>
          <w:rFonts w:hint="eastAsia"/>
          <w:sz w:val="28"/>
          <w:szCs w:val="28"/>
        </w:rPr>
        <w:t>目的：</w:t>
      </w:r>
      <w:r>
        <w:rPr>
          <w:sz w:val="28"/>
          <w:szCs w:val="28"/>
        </w:rPr>
        <w:t xml:space="preserve">MORRIS </w:t>
      </w:r>
      <w:r>
        <w:rPr>
          <w:rFonts w:hint="eastAsia"/>
          <w:sz w:val="28"/>
          <w:szCs w:val="28"/>
        </w:rPr>
        <w:t>水迷宫用于检测（大）小鼠的对空间位置觉和方向觉（空间定位）的学习记忆的能力，是神经精神药理研究必备的实验仪器。</w:t>
      </w:r>
    </w:p>
    <w:p>
      <w:pPr>
        <w:pStyle w:val="18"/>
        <w:spacing w:line="360" w:lineRule="auto"/>
        <w:ind w:firstLine="560" w:firstLineChars="200"/>
        <w:rPr>
          <w:sz w:val="28"/>
          <w:szCs w:val="28"/>
          <w:lang w:eastAsia="zh-CN"/>
        </w:rPr>
      </w:pPr>
      <w:r>
        <w:rPr>
          <w:rFonts w:hint="eastAsia"/>
          <w:sz w:val="28"/>
          <w:szCs w:val="28"/>
          <w:lang w:eastAsia="zh-CN"/>
        </w:rPr>
        <w:t>监测和记录参数：观察时间，总路程，平均速度，上台时间（潜伏期），初始角，上台前路程，上台前平均速度，穿越平台的次数，上台情况的总结，运动轨迹图，四个象限逗留的时间和路程，中央逗留的时间和路程，四象限时间和路程百分比，周边逗留的时间和路程，四象限轨迹分色处理，台周边逗留的时间和路程等。</w:t>
      </w:r>
    </w:p>
    <w:p>
      <w:pPr>
        <w:pStyle w:val="18"/>
        <w:numPr>
          <w:ilvl w:val="0"/>
          <w:numId w:val="1"/>
        </w:numPr>
        <w:spacing w:line="360" w:lineRule="auto"/>
        <w:ind w:left="0" w:firstLine="562" w:firstLineChars="200"/>
        <w:rPr>
          <w:b/>
          <w:bCs/>
          <w:sz w:val="28"/>
          <w:szCs w:val="28"/>
        </w:rPr>
      </w:pPr>
      <w:r>
        <w:rPr>
          <w:rFonts w:hint="eastAsia"/>
          <w:b/>
          <w:bCs/>
          <w:sz w:val="28"/>
          <w:szCs w:val="28"/>
        </w:rPr>
        <w:t>鼠脑立体定位仪</w:t>
      </w:r>
    </w:p>
    <w:p>
      <w:pPr>
        <w:spacing w:line="360" w:lineRule="auto"/>
        <w:ind w:firstLine="560" w:firstLineChars="200"/>
        <w:rPr>
          <w:sz w:val="28"/>
          <w:szCs w:val="28"/>
        </w:rPr>
      </w:pPr>
      <w:r>
        <w:rPr>
          <w:rFonts w:hint="eastAsia"/>
          <w:sz w:val="28"/>
          <w:szCs w:val="28"/>
        </w:rPr>
        <w:t>它是利用颅骨外面的标志或其它参考点所规定的三度坐标系统,来确定皮层下某些神经结构的位置,以便在非直视暴露下对其进行定向的刺激、破坏、注射药物、引导电位等研究。动物脑立体定位仪是神经解剖、神经生理、神经药理和神经外科等领域内的重要研究设备，用于对神经结构进行定向的注射、刺激、破坏、引导电位等操作</w:t>
      </w:r>
    </w:p>
    <w:p>
      <w:pPr>
        <w:rPr>
          <w:sz w:val="28"/>
          <w:szCs w:val="28"/>
        </w:rPr>
      </w:pPr>
      <w:r>
        <w:drawing>
          <wp:inline distT="0" distB="0" distL="0" distR="0">
            <wp:extent cx="2552700" cy="25908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552700" cy="2590800"/>
                    </a:xfrm>
                    <a:prstGeom prst="rect">
                      <a:avLst/>
                    </a:prstGeom>
                    <a:noFill/>
                    <a:ln w="9525">
                      <a:noFill/>
                      <a:miter lim="800000"/>
                      <a:headEnd/>
                      <a:tailEnd/>
                    </a:ln>
                  </pic:spPr>
                </pic:pic>
              </a:graphicData>
            </a:graphic>
          </wp:inline>
        </w:drawing>
      </w:r>
    </w:p>
    <w:p>
      <w:pPr>
        <w:pStyle w:val="2"/>
      </w:pPr>
      <w:r>
        <w:rPr>
          <w:rFonts w:hint="eastAsia" w:ascii="宋体" w:hAnsi="宋体"/>
          <w:sz w:val="24"/>
        </w:rPr>
        <w:t>2.3</w:t>
      </w:r>
      <w:r>
        <w:rPr>
          <w:rFonts w:hint="eastAsia" w:ascii="宋体" w:hAnsi="宋体"/>
          <w:b/>
          <w:bCs/>
          <w:sz w:val="24"/>
        </w:rPr>
        <w:t>预算金额：</w:t>
      </w:r>
      <w:r>
        <w:rPr>
          <w:rFonts w:hint="eastAsia" w:ascii="宋体" w:hAnsi="宋体"/>
          <w:sz w:val="24"/>
        </w:rPr>
        <w:t>30000.00元</w:t>
      </w:r>
    </w:p>
    <w:bookmarkEnd w:id="7"/>
    <w:p>
      <w:pPr>
        <w:pStyle w:val="4"/>
        <w:spacing w:before="0" w:after="0" w:line="360" w:lineRule="auto"/>
        <w:rPr>
          <w:rFonts w:ascii="宋体" w:hAnsi="宋体" w:eastAsia="宋体"/>
          <w:sz w:val="28"/>
          <w:szCs w:val="28"/>
        </w:rPr>
      </w:pPr>
      <w:bookmarkStart w:id="10" w:name="_Toc31054"/>
      <w:bookmarkEnd w:id="10"/>
      <w:bookmarkStart w:id="11" w:name="_Toc20033"/>
      <w:bookmarkEnd w:id="11"/>
      <w:bookmarkStart w:id="12" w:name="_Toc24772"/>
      <w:bookmarkStart w:id="13" w:name="_Toc35551589"/>
      <w:r>
        <w:rPr>
          <w:rFonts w:hint="eastAsia" w:ascii="宋体" w:hAnsi="宋体" w:eastAsia="宋体"/>
          <w:sz w:val="28"/>
          <w:szCs w:val="28"/>
        </w:rPr>
        <w:t>3.供应商资格</w:t>
      </w:r>
      <w:bookmarkEnd w:id="12"/>
      <w:r>
        <w:rPr>
          <w:rFonts w:hint="eastAsia" w:ascii="宋体" w:hAnsi="宋体" w:eastAsia="宋体"/>
          <w:sz w:val="28"/>
          <w:szCs w:val="28"/>
        </w:rPr>
        <w:t>要求</w:t>
      </w:r>
      <w:bookmarkEnd w:id="13"/>
    </w:p>
    <w:p>
      <w:pPr>
        <w:pStyle w:val="15"/>
        <w:ind w:firstLine="480" w:firstLineChars="200"/>
        <w:rPr>
          <w:rFonts w:ascii="宋体" w:hAnsi="宋体" w:eastAsia="宋体"/>
          <w:b/>
          <w:bCs/>
          <w:sz w:val="24"/>
          <w:szCs w:val="24"/>
        </w:rPr>
      </w:pPr>
      <w:r>
        <w:rPr>
          <w:rFonts w:hint="eastAsia" w:ascii="宋体" w:hAnsi="宋体" w:eastAsia="宋体"/>
          <w:sz w:val="24"/>
          <w:szCs w:val="24"/>
        </w:rPr>
        <w:t>3.1本次采购要求供应商具有独立承担民事责任的能力，提供法人或者其他组织的营业执照等证明文件。</w:t>
      </w:r>
    </w:p>
    <w:p>
      <w:pPr>
        <w:pStyle w:val="15"/>
        <w:ind w:firstLine="480" w:firstLineChars="200"/>
        <w:rPr>
          <w:rFonts w:ascii="宋体" w:hAnsi="宋体" w:eastAsia="宋体"/>
          <w:sz w:val="24"/>
          <w:szCs w:val="24"/>
        </w:rPr>
      </w:pPr>
      <w:r>
        <w:rPr>
          <w:rFonts w:hint="eastAsia" w:ascii="宋体" w:hAnsi="宋体" w:eastAsia="宋体"/>
          <w:sz w:val="24"/>
          <w:szCs w:val="24"/>
        </w:rPr>
        <w:t>3.2具有良好的商业信誉和健全的财务会计制度，提供</w:t>
      </w:r>
      <w:r>
        <w:rPr>
          <w:rFonts w:hint="eastAsia" w:ascii="宋体" w:hAnsi="宋体" w:eastAsia="宋体"/>
          <w:sz w:val="24"/>
          <w:szCs w:val="24"/>
          <w:u w:val="single"/>
        </w:rPr>
        <w:t>2018</w:t>
      </w:r>
      <w:r>
        <w:rPr>
          <w:rFonts w:hint="eastAsia" w:ascii="宋体" w:hAnsi="宋体" w:eastAsia="宋体"/>
          <w:sz w:val="24"/>
          <w:szCs w:val="24"/>
        </w:rPr>
        <w:t>年经第三方审计的审计报告及财务报表(包括资产负债表、利润表、现金流量表)，成立不满</w:t>
      </w:r>
      <w:r>
        <w:rPr>
          <w:rFonts w:hint="eastAsia" w:ascii="宋体" w:hAnsi="宋体" w:eastAsia="宋体"/>
          <w:sz w:val="24"/>
          <w:szCs w:val="24"/>
          <w:u w:val="single"/>
        </w:rPr>
        <w:t>1</w:t>
      </w:r>
      <w:r>
        <w:rPr>
          <w:rFonts w:hint="eastAsia" w:ascii="宋体" w:hAnsi="宋体" w:eastAsia="宋体"/>
          <w:sz w:val="24"/>
          <w:szCs w:val="24"/>
        </w:rPr>
        <w:t>年的，提供自成立至今的财务报表(包括资产负债表、利润表、现金流量表）。</w:t>
      </w:r>
    </w:p>
    <w:p>
      <w:pPr>
        <w:pStyle w:val="15"/>
        <w:ind w:firstLine="480" w:firstLineChars="200"/>
        <w:rPr>
          <w:rFonts w:ascii="宋体" w:hAnsi="宋体" w:eastAsia="宋体"/>
          <w:sz w:val="24"/>
          <w:szCs w:val="24"/>
        </w:rPr>
      </w:pPr>
      <w:r>
        <w:rPr>
          <w:rFonts w:hint="eastAsia" w:ascii="宋体" w:hAnsi="宋体" w:eastAsia="宋体"/>
          <w:sz w:val="24"/>
          <w:szCs w:val="24"/>
        </w:rPr>
        <w:t>3.3具有依法缴纳税收和社会保障资金的良好记录，提供</w:t>
      </w:r>
      <w:r>
        <w:rPr>
          <w:rFonts w:hint="eastAsia" w:ascii="宋体" w:hAnsi="宋体" w:eastAsia="宋体"/>
          <w:sz w:val="24"/>
          <w:szCs w:val="24"/>
          <w:u w:val="single"/>
        </w:rPr>
        <w:t>2019</w:t>
      </w:r>
      <w:r>
        <w:rPr>
          <w:rFonts w:hint="eastAsia" w:ascii="宋体" w:hAnsi="宋体" w:eastAsia="宋体"/>
          <w:sz w:val="24"/>
          <w:szCs w:val="24"/>
        </w:rPr>
        <w:t>年</w:t>
      </w:r>
      <w:r>
        <w:rPr>
          <w:rFonts w:hint="eastAsia" w:ascii="宋体" w:hAnsi="宋体" w:eastAsia="宋体"/>
          <w:sz w:val="24"/>
          <w:szCs w:val="24"/>
          <w:u w:val="single"/>
        </w:rPr>
        <w:t>1</w:t>
      </w:r>
      <w:r>
        <w:rPr>
          <w:rFonts w:hint="eastAsia" w:ascii="宋体" w:hAnsi="宋体" w:eastAsia="宋体"/>
          <w:sz w:val="24"/>
          <w:szCs w:val="24"/>
        </w:rPr>
        <w:t>月至今任意连续</w:t>
      </w:r>
      <w:r>
        <w:rPr>
          <w:rFonts w:hint="eastAsia" w:ascii="宋体" w:hAnsi="宋体" w:eastAsia="宋体"/>
          <w:sz w:val="24"/>
          <w:szCs w:val="24"/>
          <w:u w:val="single"/>
        </w:rPr>
        <w:t>3</w:t>
      </w:r>
      <w:r>
        <w:rPr>
          <w:rFonts w:hint="eastAsia" w:ascii="宋体" w:hAnsi="宋体" w:eastAsia="宋体"/>
          <w:sz w:val="24"/>
          <w:szCs w:val="24"/>
        </w:rPr>
        <w:t>个月依法缴纳税收和缴纳社会保障资金的证明(成立未满</w:t>
      </w:r>
      <w:r>
        <w:rPr>
          <w:rFonts w:hint="eastAsia" w:ascii="宋体" w:hAnsi="宋体" w:eastAsia="宋体"/>
          <w:sz w:val="24"/>
          <w:szCs w:val="24"/>
          <w:u w:val="single"/>
        </w:rPr>
        <w:t>3</w:t>
      </w:r>
      <w:r>
        <w:rPr>
          <w:rFonts w:hint="eastAsia" w:ascii="宋体" w:hAnsi="宋体" w:eastAsia="宋体"/>
          <w:sz w:val="24"/>
          <w:szCs w:val="24"/>
        </w:rPr>
        <w:t>个月的提供成立以来的税收和社会保障资金缴纳凭证或相关情况说明；依法免税或不需要缴纳社会保障资金的供应商，应提供相应文件证明其依法免税或不需要缴纳社会保障资金)。</w:t>
      </w:r>
    </w:p>
    <w:p>
      <w:pPr>
        <w:pStyle w:val="15"/>
        <w:ind w:firstLine="480" w:firstLineChars="200"/>
        <w:rPr>
          <w:rFonts w:ascii="宋体" w:hAnsi="宋体" w:eastAsia="宋体"/>
          <w:sz w:val="24"/>
          <w:szCs w:val="24"/>
        </w:rPr>
      </w:pPr>
      <w:r>
        <w:rPr>
          <w:rFonts w:hint="eastAsia" w:ascii="宋体" w:hAnsi="宋体" w:eastAsia="宋体"/>
          <w:sz w:val="24"/>
          <w:szCs w:val="24"/>
        </w:rPr>
        <w:t>3.4具有履行合同所必须的设备和专业技术能力，提供相关证明材料。物资必须提供相关资料，生产产品三证，符合国家、省级标准等。</w:t>
      </w:r>
    </w:p>
    <w:p>
      <w:pPr>
        <w:spacing w:line="360" w:lineRule="auto"/>
        <w:ind w:firstLine="480" w:firstLineChars="200"/>
        <w:jc w:val="both"/>
        <w:rPr>
          <w:rFonts w:ascii="宋体" w:hAnsi="宋体"/>
          <w:sz w:val="24"/>
          <w:szCs w:val="24"/>
        </w:rPr>
      </w:pPr>
      <w:r>
        <w:rPr>
          <w:rFonts w:hint="eastAsia" w:ascii="宋体" w:hAnsi="宋体"/>
          <w:sz w:val="24"/>
          <w:szCs w:val="24"/>
        </w:rPr>
        <w:t>3.5</w:t>
      </w:r>
      <w:r>
        <w:rPr>
          <w:rFonts w:hint="eastAsia" w:ascii="宋体" w:hAnsi="宋体"/>
          <w:b/>
          <w:sz w:val="24"/>
          <w:szCs w:val="24"/>
        </w:rPr>
        <w:t>信用要求：</w:t>
      </w:r>
      <w:r>
        <w:rPr>
          <w:rFonts w:hint="eastAsia" w:ascii="宋体" w:hAnsi="宋体"/>
          <w:sz w:val="24"/>
          <w:szCs w:val="24"/>
        </w:rPr>
        <w:t>供应商应在“信用中国”网站（www.creditchina.gov.cn）未被列入失信被执行人记录、重大税收违法案件当事人名单（被禁止在一定期限内参加谈判活动但期限届满的除外）。供应商须提供“信用中国（www.creditchina.gov.cn）”网站查询结果证明材料（查询时间为本公告发布之日起至</w:t>
      </w:r>
      <w:r>
        <w:rPr>
          <w:rFonts w:hint="eastAsia" w:ascii="宋体" w:hAnsi="宋体"/>
          <w:color w:val="000000"/>
          <w:sz w:val="24"/>
          <w:szCs w:val="24"/>
        </w:rPr>
        <w:t>响应文件递交截止时间止</w:t>
      </w:r>
      <w:r>
        <w:rPr>
          <w:rFonts w:hint="eastAsia" w:ascii="宋体" w:hAnsi="宋体"/>
          <w:sz w:val="24"/>
          <w:szCs w:val="24"/>
        </w:rPr>
        <w:t>）。</w:t>
      </w:r>
    </w:p>
    <w:p>
      <w:pPr>
        <w:pStyle w:val="2"/>
        <w:ind w:firstLine="480"/>
        <w:rPr>
          <w:rFonts w:ascii="宋体" w:hAnsi="宋体"/>
          <w:b/>
          <w:bCs/>
          <w:sz w:val="24"/>
        </w:rPr>
      </w:pPr>
      <w:r>
        <w:rPr>
          <w:rFonts w:hint="eastAsia" w:ascii="宋体" w:hAnsi="宋体"/>
          <w:b/>
          <w:bCs/>
          <w:sz w:val="24"/>
        </w:rPr>
        <w:t>3.6其他要求</w:t>
      </w:r>
    </w:p>
    <w:p>
      <w:pPr>
        <w:spacing w:line="360" w:lineRule="auto"/>
        <w:ind w:firstLine="480" w:firstLineChars="200"/>
        <w:rPr>
          <w:rFonts w:ascii="宋体" w:hAnsi="宋体"/>
          <w:sz w:val="24"/>
          <w:szCs w:val="24"/>
        </w:rPr>
      </w:pPr>
      <w:r>
        <w:rPr>
          <w:rFonts w:hint="eastAsia" w:ascii="宋体" w:hAnsi="宋体"/>
          <w:sz w:val="24"/>
          <w:szCs w:val="24"/>
        </w:rPr>
        <w:t>3.6.1本项目</w:t>
      </w:r>
      <w:r>
        <w:rPr>
          <w:rFonts w:hint="eastAsia" w:ascii="宋体" w:hAnsi="宋体"/>
          <w:sz w:val="24"/>
          <w:szCs w:val="24"/>
          <w:u w:val="single"/>
        </w:rPr>
        <w:t>不接受</w:t>
      </w:r>
      <w:r>
        <w:rPr>
          <w:rFonts w:hint="eastAsia" w:ascii="宋体" w:hAnsi="宋体"/>
          <w:b/>
          <w:bCs/>
          <w:sz w:val="24"/>
          <w:szCs w:val="24"/>
        </w:rPr>
        <w:t>联合体谈判</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rPr>
        <w:t>3.6.2单位负责人为同一人或者存在直接控股、管理关系的不同供应商，不得参加同一合同项下的谈判活动。</w:t>
      </w:r>
    </w:p>
    <w:p>
      <w:pPr>
        <w:pStyle w:val="4"/>
        <w:spacing w:before="0" w:after="0" w:line="360" w:lineRule="auto"/>
        <w:rPr>
          <w:rFonts w:ascii="宋体" w:hAnsi="宋体" w:eastAsia="宋体"/>
          <w:color w:val="000000"/>
          <w:sz w:val="28"/>
          <w:szCs w:val="28"/>
        </w:rPr>
      </w:pPr>
      <w:bookmarkStart w:id="14" w:name="_Toc16294"/>
      <w:bookmarkEnd w:id="14"/>
      <w:bookmarkStart w:id="15" w:name="_Toc7614"/>
      <w:bookmarkEnd w:id="15"/>
      <w:bookmarkStart w:id="16" w:name="_Toc14041"/>
      <w:bookmarkEnd w:id="16"/>
      <w:bookmarkStart w:id="17" w:name="_Toc30966"/>
      <w:bookmarkEnd w:id="17"/>
      <w:bookmarkStart w:id="18" w:name="_Toc3896276"/>
      <w:bookmarkStart w:id="19" w:name="_Toc35551591"/>
      <w:bookmarkStart w:id="20" w:name="_Toc35512874"/>
      <w:bookmarkStart w:id="21" w:name="_Toc7961452"/>
      <w:r>
        <w:rPr>
          <w:rFonts w:hint="eastAsia" w:ascii="宋体" w:hAnsi="宋体" w:eastAsia="宋体"/>
          <w:color w:val="000000"/>
          <w:sz w:val="28"/>
          <w:szCs w:val="28"/>
        </w:rPr>
        <w:t>5.响应文件提交</w:t>
      </w:r>
      <w:bookmarkEnd w:id="18"/>
      <w:r>
        <w:rPr>
          <w:rFonts w:hint="eastAsia" w:ascii="宋体" w:hAnsi="宋体" w:eastAsia="宋体"/>
          <w:color w:val="000000"/>
          <w:sz w:val="28"/>
          <w:szCs w:val="28"/>
        </w:rPr>
        <w:t>的截止时间、开启时间及地点</w:t>
      </w:r>
      <w:bookmarkEnd w:id="19"/>
      <w:bookmarkEnd w:id="20"/>
      <w:bookmarkEnd w:id="21"/>
    </w:p>
    <w:p>
      <w:pPr>
        <w:widowControl w:val="0"/>
        <w:spacing w:line="360" w:lineRule="auto"/>
        <w:ind w:firstLine="480" w:firstLineChars="200"/>
        <w:jc w:val="both"/>
        <w:rPr>
          <w:rFonts w:ascii="宋体" w:hAnsi="宋体"/>
          <w:snapToGrid w:val="0"/>
          <w:kern w:val="21"/>
          <w:sz w:val="24"/>
          <w:szCs w:val="24"/>
        </w:rPr>
      </w:pPr>
      <w:r>
        <w:rPr>
          <w:rFonts w:hint="eastAsia" w:ascii="宋体" w:hAnsi="宋体"/>
          <w:snapToGrid w:val="0"/>
          <w:kern w:val="21"/>
          <w:sz w:val="24"/>
          <w:szCs w:val="24"/>
        </w:rPr>
        <w:t>5.2响应文件递交截止时间：2020年11月10日09时00分。</w:t>
      </w:r>
    </w:p>
    <w:p>
      <w:pPr>
        <w:widowControl w:val="0"/>
        <w:spacing w:line="360" w:lineRule="auto"/>
        <w:ind w:firstLine="480" w:firstLineChars="200"/>
        <w:jc w:val="both"/>
        <w:rPr>
          <w:rFonts w:ascii="宋体" w:hAnsi="宋体"/>
          <w:snapToGrid w:val="0"/>
          <w:kern w:val="21"/>
          <w:sz w:val="24"/>
          <w:szCs w:val="24"/>
        </w:rPr>
      </w:pPr>
      <w:r>
        <w:rPr>
          <w:rFonts w:hint="eastAsia" w:ascii="宋体"/>
          <w:snapToGrid w:val="0"/>
          <w:kern w:val="21"/>
          <w:sz w:val="24"/>
          <w:szCs w:val="24"/>
        </w:rPr>
        <w:t>5</w:t>
      </w:r>
      <w:r>
        <w:rPr>
          <w:rFonts w:hint="eastAsia" w:ascii="宋体" w:hAnsi="宋体"/>
          <w:snapToGrid w:val="0"/>
          <w:kern w:val="21"/>
          <w:sz w:val="24"/>
          <w:szCs w:val="24"/>
        </w:rPr>
        <w:t>.4</w:t>
      </w:r>
      <w:r>
        <w:rPr>
          <w:rFonts w:hint="eastAsia" w:ascii="宋体"/>
          <w:snapToGrid w:val="0"/>
          <w:kern w:val="21"/>
          <w:sz w:val="24"/>
          <w:szCs w:val="24"/>
        </w:rPr>
        <w:t>谈判</w:t>
      </w:r>
      <w:r>
        <w:rPr>
          <w:rFonts w:hint="eastAsia" w:ascii="宋体" w:hAnsi="宋体"/>
          <w:snapToGrid w:val="0"/>
          <w:kern w:val="21"/>
          <w:sz w:val="24"/>
          <w:szCs w:val="24"/>
        </w:rPr>
        <w:t>时间：2020年11月10日09时00分。</w:t>
      </w:r>
    </w:p>
    <w:p>
      <w:pPr>
        <w:widowControl w:val="0"/>
        <w:spacing w:line="360" w:lineRule="auto"/>
        <w:ind w:firstLine="480" w:firstLineChars="200"/>
        <w:jc w:val="both"/>
        <w:rPr>
          <w:rFonts w:ascii="宋体" w:hAnsi="宋体"/>
          <w:snapToGrid w:val="0"/>
          <w:kern w:val="21"/>
          <w:sz w:val="24"/>
          <w:szCs w:val="24"/>
        </w:rPr>
      </w:pPr>
      <w:r>
        <w:rPr>
          <w:rFonts w:hint="eastAsia" w:ascii="宋体"/>
          <w:snapToGrid w:val="0"/>
          <w:kern w:val="21"/>
          <w:sz w:val="24"/>
          <w:szCs w:val="24"/>
        </w:rPr>
        <w:t>5</w:t>
      </w:r>
      <w:r>
        <w:rPr>
          <w:rFonts w:hint="eastAsia" w:ascii="宋体" w:hAnsi="宋体"/>
          <w:snapToGrid w:val="0"/>
          <w:kern w:val="21"/>
          <w:sz w:val="24"/>
          <w:szCs w:val="24"/>
        </w:rPr>
        <w:t>.5</w:t>
      </w:r>
      <w:r>
        <w:rPr>
          <w:rFonts w:hint="eastAsia" w:ascii="宋体"/>
          <w:snapToGrid w:val="0"/>
          <w:kern w:val="21"/>
          <w:sz w:val="24"/>
          <w:szCs w:val="24"/>
        </w:rPr>
        <w:t>谈判</w:t>
      </w:r>
      <w:r>
        <w:rPr>
          <w:rFonts w:hint="eastAsia" w:ascii="宋体" w:hAnsi="宋体"/>
          <w:snapToGrid w:val="0"/>
          <w:kern w:val="21"/>
          <w:sz w:val="24"/>
          <w:szCs w:val="24"/>
        </w:rPr>
        <w:t>地点：云南省精神病医院4号楼2楼科教部会议室。</w:t>
      </w:r>
    </w:p>
    <w:p>
      <w:pPr>
        <w:widowControl w:val="0"/>
        <w:spacing w:line="360" w:lineRule="auto"/>
        <w:ind w:firstLine="480" w:firstLineChars="200"/>
        <w:jc w:val="both"/>
        <w:rPr>
          <w:rFonts w:ascii="宋体" w:hAnsi="宋体"/>
          <w:snapToGrid w:val="0"/>
          <w:kern w:val="21"/>
          <w:sz w:val="24"/>
          <w:szCs w:val="24"/>
        </w:rPr>
      </w:pPr>
      <w:r>
        <w:rPr>
          <w:rFonts w:hint="eastAsia" w:ascii="宋体" w:hAnsi="宋体"/>
          <w:snapToGrid w:val="0"/>
          <w:kern w:val="21"/>
          <w:sz w:val="24"/>
          <w:szCs w:val="24"/>
        </w:rPr>
        <w:t>5.6逾期送达的、未送达指定地点的或者不按照谈判文件要求密封的响应文件，采购人拒绝接收。</w:t>
      </w:r>
    </w:p>
    <w:p>
      <w:pPr>
        <w:pStyle w:val="4"/>
        <w:spacing w:before="0" w:after="0" w:line="360" w:lineRule="auto"/>
        <w:rPr>
          <w:rFonts w:ascii="宋体" w:hAnsi="宋体" w:eastAsia="宋体"/>
          <w:sz w:val="28"/>
          <w:szCs w:val="28"/>
        </w:rPr>
      </w:pPr>
      <w:bookmarkStart w:id="22" w:name="_Toc35551592"/>
      <w:r>
        <w:rPr>
          <w:rFonts w:hint="eastAsia" w:ascii="宋体" w:hAnsi="宋体" w:eastAsia="宋体"/>
          <w:sz w:val="28"/>
          <w:szCs w:val="28"/>
        </w:rPr>
        <w:t>6.发布公告的媒介</w:t>
      </w:r>
      <w:bookmarkEnd w:id="22"/>
      <w:bookmarkStart w:id="23" w:name="_Toc32695"/>
      <w:bookmarkEnd w:id="23"/>
      <w:bookmarkStart w:id="24" w:name="_Toc7499"/>
      <w:bookmarkEnd w:id="24"/>
      <w:bookmarkStart w:id="25" w:name="_Toc10746"/>
    </w:p>
    <w:p>
      <w:pPr>
        <w:spacing w:line="360" w:lineRule="auto"/>
        <w:ind w:firstLine="480" w:firstLineChars="200"/>
        <w:rPr>
          <w:rFonts w:ascii="宋体" w:hAnsi="宋体"/>
          <w:sz w:val="24"/>
        </w:rPr>
      </w:pPr>
      <w:r>
        <w:rPr>
          <w:rFonts w:hint="eastAsia" w:ascii="宋体" w:hAnsi="宋体"/>
          <w:sz w:val="24"/>
          <w:szCs w:val="24"/>
        </w:rPr>
        <w:t>本次竞争性谈判公告在云南省精神病医院官网上发布。</w:t>
      </w:r>
    </w:p>
    <w:bookmarkEnd w:id="25"/>
    <w:p>
      <w:pPr>
        <w:pStyle w:val="4"/>
        <w:keepLines w:val="0"/>
        <w:widowControl/>
        <w:autoSpaceDE w:val="0"/>
        <w:spacing w:before="0" w:after="0" w:line="360" w:lineRule="auto"/>
        <w:rPr>
          <w:rFonts w:ascii="宋体" w:hAnsi="宋体"/>
        </w:rPr>
      </w:pPr>
      <w:bookmarkStart w:id="26" w:name="_Toc12174"/>
      <w:bookmarkEnd w:id="26"/>
      <w:bookmarkStart w:id="27" w:name="_Toc724"/>
      <w:bookmarkEnd w:id="27"/>
      <w:bookmarkStart w:id="28" w:name="_Toc35551593"/>
      <w:r>
        <w:rPr>
          <w:rFonts w:hint="eastAsia" w:ascii="宋体" w:hAnsi="宋体" w:eastAsia="宋体"/>
          <w:sz w:val="28"/>
          <w:szCs w:val="28"/>
        </w:rPr>
        <w:t>7.采购人名称、地址和联系方法</w:t>
      </w:r>
      <w:bookmarkEnd w:id="28"/>
    </w:p>
    <w:p>
      <w:pPr>
        <w:widowControl w:val="0"/>
        <w:spacing w:line="360" w:lineRule="auto"/>
        <w:ind w:firstLine="480" w:firstLineChars="200"/>
        <w:jc w:val="both"/>
        <w:rPr>
          <w:rFonts w:ascii="宋体" w:hAnsi="宋体"/>
          <w:snapToGrid w:val="0"/>
          <w:kern w:val="21"/>
          <w:sz w:val="24"/>
          <w:szCs w:val="24"/>
        </w:rPr>
      </w:pPr>
      <w:r>
        <w:rPr>
          <w:rFonts w:hint="eastAsia" w:ascii="宋体" w:hAnsi="宋体"/>
          <w:snapToGrid w:val="0"/>
          <w:kern w:val="21"/>
          <w:sz w:val="24"/>
          <w:szCs w:val="24"/>
        </w:rPr>
        <w:t>采 购 人：云南省精神病医院</w:t>
      </w:r>
    </w:p>
    <w:p>
      <w:pPr>
        <w:widowControl w:val="0"/>
        <w:spacing w:line="360" w:lineRule="auto"/>
        <w:ind w:firstLine="480" w:firstLineChars="200"/>
        <w:jc w:val="both"/>
        <w:rPr>
          <w:rFonts w:ascii="宋体" w:hAnsi="宋体"/>
          <w:snapToGrid w:val="0"/>
          <w:kern w:val="21"/>
          <w:sz w:val="24"/>
          <w:szCs w:val="24"/>
        </w:rPr>
      </w:pPr>
      <w:r>
        <w:rPr>
          <w:rFonts w:hint="eastAsia" w:ascii="宋体" w:hAnsi="宋体"/>
          <w:snapToGrid w:val="0"/>
          <w:kern w:val="21"/>
          <w:sz w:val="24"/>
          <w:szCs w:val="24"/>
        </w:rPr>
        <w:t>地    址：</w:t>
      </w:r>
      <w:r>
        <w:rPr>
          <w:rFonts w:hint="eastAsia" w:ascii="宋体" w:hAnsi="宋体" w:cs="宋体"/>
          <w:bCs/>
          <w:sz w:val="24"/>
        </w:rPr>
        <w:t>昆明市穿金路733号</w:t>
      </w:r>
    </w:p>
    <w:p>
      <w:pPr>
        <w:widowControl w:val="0"/>
        <w:spacing w:line="360" w:lineRule="auto"/>
        <w:ind w:firstLine="480" w:firstLineChars="200"/>
        <w:jc w:val="both"/>
        <w:rPr>
          <w:rFonts w:ascii="宋体" w:hAnsi="宋体"/>
          <w:snapToGrid w:val="0"/>
          <w:kern w:val="21"/>
          <w:szCs w:val="24"/>
        </w:rPr>
      </w:pPr>
      <w:r>
        <w:rPr>
          <w:rFonts w:hint="eastAsia" w:ascii="宋体" w:hAnsi="宋体"/>
          <w:snapToGrid w:val="0"/>
          <w:kern w:val="21"/>
          <w:sz w:val="24"/>
          <w:szCs w:val="24"/>
        </w:rPr>
        <w:t>联 系 人：张宝洪</w:t>
      </w:r>
    </w:p>
    <w:p>
      <w:pPr>
        <w:widowControl w:val="0"/>
        <w:adjustRightInd w:val="0"/>
        <w:spacing w:line="440" w:lineRule="exact"/>
        <w:ind w:firstLine="480" w:firstLineChars="200"/>
        <w:jc w:val="both"/>
        <w:rPr>
          <w:rFonts w:ascii="宋体" w:hAnsi="宋体" w:cs="Arial"/>
          <w:bCs/>
          <w:color w:val="000000"/>
          <w:sz w:val="24"/>
          <w:szCs w:val="24"/>
        </w:rPr>
      </w:pPr>
      <w:r>
        <w:rPr>
          <w:rFonts w:hint="eastAsia" w:ascii="宋体" w:hAnsi="宋体"/>
          <w:bCs/>
          <w:color w:val="000000"/>
          <w:kern w:val="2"/>
          <w:sz w:val="24"/>
          <w:szCs w:val="20"/>
        </w:rPr>
        <w:t>联系电话：</w:t>
      </w:r>
      <w:r>
        <w:rPr>
          <w:rFonts w:hint="eastAsia" w:ascii="宋体" w:hAnsi="宋体" w:cs="Arial"/>
          <w:bCs/>
          <w:color w:val="000000"/>
          <w:sz w:val="24"/>
          <w:szCs w:val="24"/>
        </w:rPr>
        <w:t>（0871）65619734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D484C"/>
    <w:multiLevelType w:val="multilevel"/>
    <w:tmpl w:val="317D484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3A"/>
    <w:rsid w:val="00044655"/>
    <w:rsid w:val="00062D83"/>
    <w:rsid w:val="0025154B"/>
    <w:rsid w:val="00435D81"/>
    <w:rsid w:val="00515EF0"/>
    <w:rsid w:val="00521AED"/>
    <w:rsid w:val="005B439C"/>
    <w:rsid w:val="006228AE"/>
    <w:rsid w:val="00777E67"/>
    <w:rsid w:val="00867EB3"/>
    <w:rsid w:val="008F7304"/>
    <w:rsid w:val="00A45E69"/>
    <w:rsid w:val="00C1083A"/>
    <w:rsid w:val="00CC7945"/>
    <w:rsid w:val="00F10119"/>
    <w:rsid w:val="00FC4CDC"/>
    <w:rsid w:val="16276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1"/>
      <w:szCs w:val="21"/>
      <w:lang w:val="en-US" w:eastAsia="zh-CN" w:bidi="ar-SA"/>
    </w:rPr>
  </w:style>
  <w:style w:type="paragraph" w:styleId="3">
    <w:name w:val="heading 1"/>
    <w:basedOn w:val="1"/>
    <w:next w:val="1"/>
    <w:link w:val="13"/>
    <w:qFormat/>
    <w:uiPriority w:val="99"/>
    <w:pPr>
      <w:keepNext/>
      <w:keepLines/>
      <w:widowControl w:val="0"/>
      <w:spacing w:before="340" w:after="330" w:line="576" w:lineRule="auto"/>
      <w:outlineLvl w:val="0"/>
    </w:pPr>
    <w:rPr>
      <w:rFonts w:ascii="Calibri" w:hAnsi="Calibri"/>
      <w:b/>
      <w:bCs/>
      <w:kern w:val="44"/>
      <w:sz w:val="44"/>
      <w:szCs w:val="44"/>
    </w:rPr>
  </w:style>
  <w:style w:type="paragraph" w:styleId="4">
    <w:name w:val="heading 2"/>
    <w:basedOn w:val="1"/>
    <w:next w:val="5"/>
    <w:link w:val="14"/>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line="360" w:lineRule="auto"/>
    </w:pPr>
    <w:rPr>
      <w:kern w:val="2"/>
      <w:szCs w:val="24"/>
    </w:rPr>
  </w:style>
  <w:style w:type="paragraph" w:styleId="5">
    <w:name w:val="Normal Indent"/>
    <w:basedOn w:val="1"/>
    <w:semiHidden/>
    <w:unhideWhenUsed/>
    <w:qFormat/>
    <w:uiPriority w:val="99"/>
    <w:pPr>
      <w:ind w:firstLine="420" w:firstLineChars="200"/>
    </w:pPr>
  </w:style>
  <w:style w:type="paragraph" w:styleId="6">
    <w:name w:val="Balloon Text"/>
    <w:basedOn w:val="1"/>
    <w:link w:val="19"/>
    <w:semiHidden/>
    <w:unhideWhenUsed/>
    <w:uiPriority w:val="99"/>
    <w:rPr>
      <w:sz w:val="18"/>
      <w:szCs w:val="18"/>
    </w:rPr>
  </w:style>
  <w:style w:type="paragraph" w:styleId="7">
    <w:name w:val="footer"/>
    <w:basedOn w:val="1"/>
    <w:link w:val="12"/>
    <w:semiHidden/>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8">
    <w:name w:val="header"/>
    <w:basedOn w:val="1"/>
    <w:link w:val="11"/>
    <w:semiHidden/>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uiPriority w:val="99"/>
    <w:rPr>
      <w:rFonts w:ascii="Calibri" w:hAnsi="Calibri" w:eastAsia="宋体" w:cs="Times New Roman"/>
      <w:b/>
      <w:bCs/>
      <w:kern w:val="44"/>
      <w:sz w:val="44"/>
      <w:szCs w:val="44"/>
    </w:rPr>
  </w:style>
  <w:style w:type="character" w:customStyle="1" w:styleId="14">
    <w:name w:val="标题 2 Char"/>
    <w:basedOn w:val="10"/>
    <w:link w:val="4"/>
    <w:qFormat/>
    <w:uiPriority w:val="99"/>
    <w:rPr>
      <w:rFonts w:ascii="Arial" w:hAnsi="Arial" w:eastAsia="黑体" w:cs="Times New Roman"/>
      <w:b/>
      <w:bCs/>
      <w:kern w:val="0"/>
      <w:sz w:val="32"/>
      <w:szCs w:val="32"/>
    </w:rPr>
  </w:style>
  <w:style w:type="paragraph" w:customStyle="1" w:styleId="15">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character" w:customStyle="1" w:styleId="16">
    <w:name w:val="正文文本 Char"/>
    <w:basedOn w:val="10"/>
    <w:link w:val="2"/>
    <w:qFormat/>
    <w:uiPriority w:val="0"/>
    <w:rPr>
      <w:rFonts w:ascii="Times New Roman" w:hAnsi="Times New Roman" w:eastAsia="宋体" w:cs="Times New Roman"/>
      <w:szCs w:val="24"/>
    </w:rPr>
  </w:style>
  <w:style w:type="character" w:customStyle="1" w:styleId="17">
    <w:name w:val="批注文字 Char2"/>
    <w:qFormat/>
    <w:uiPriority w:val="0"/>
    <w:rPr>
      <w:kern w:val="2"/>
      <w:sz w:val="21"/>
      <w:szCs w:val="24"/>
    </w:rPr>
  </w:style>
  <w:style w:type="paragraph" w:styleId="18">
    <w:name w:val="List Paragraph"/>
    <w:basedOn w:val="1"/>
    <w:qFormat/>
    <w:uiPriority w:val="1"/>
    <w:pPr>
      <w:widowControl w:val="0"/>
    </w:pPr>
    <w:rPr>
      <w:rFonts w:ascii="宋体" w:hAnsi="宋体" w:cs="宋体"/>
      <w:sz w:val="22"/>
      <w:szCs w:val="22"/>
      <w:lang w:eastAsia="en-US"/>
    </w:rPr>
  </w:style>
  <w:style w:type="character" w:customStyle="1" w:styleId="19">
    <w:name w:val="批注框文本 Char"/>
    <w:basedOn w:val="10"/>
    <w:link w:val="6"/>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456</Words>
  <Characters>2604</Characters>
  <Lines>21</Lines>
  <Paragraphs>6</Paragraphs>
  <TotalTime>33</TotalTime>
  <ScaleCrop>false</ScaleCrop>
  <LinksUpToDate>false</LinksUpToDate>
  <CharactersWithSpaces>3054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2020-11-03T01:17:00Z</dcterms:created>
  <dc:creator>张宝洪</dc:creator>
  <cp:lastModifiedBy>十字路口</cp:lastModifiedBy>
  <dcterms:modified xsi:type="dcterms:W3CDTF">2020-11-05T01:57:01Z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